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6.2.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Рычаги вокруг нас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https://youtu.be/86fxQH-KXnA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Найдите в окружающем пространстве предметы, которые действуют по принципу рычага.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Посмотрите видео и познакомьтесь с принципом работы рычага. Найдите в окружающем пространстве предметы и механизмы (не менее 5), которые действуют схожим образом. Зафиксируйте их на фото.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rtl w:val="0"/>
        </w:rPr>
        <w:t xml:space="preserve">Рычаг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86fxQH-KXn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sgx8DZh0ZyMaFaDrsDIcfike7g==">AMUW2mUxFBDZryVDhUCK0lrkJY3n9nmebuHUZU2PGJ80AXhuQuY2MuNJ6uxqFiiqyJoZtrkC5v2FKZkc4muO8Sn8yE61NsBMqRv+nce9MB7BWBPdHus2fQ2Xd3WP9uWSNY0H6ScBYHVY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